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243B1" w14:textId="77777777" w:rsidR="008631AA" w:rsidRPr="007B0084" w:rsidRDefault="008631AA" w:rsidP="008631A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5E93B46" wp14:editId="2F939A2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BA7B5" w14:textId="77777777" w:rsidR="008631AA" w:rsidRPr="00266A63" w:rsidRDefault="008631AA" w:rsidP="008631A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66A63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26FD8C65" w14:textId="77777777" w:rsidR="008631AA" w:rsidRPr="00266A63" w:rsidRDefault="008631AA" w:rsidP="008631A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66A63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67FFB6A9" w14:textId="77777777" w:rsidR="008631AA" w:rsidRPr="00266A63" w:rsidRDefault="008631AA" w:rsidP="008631A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66A63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580F6588" w14:textId="71A318BF" w:rsidR="008631AA" w:rsidRPr="007B0084" w:rsidRDefault="00266A63" w:rsidP="008631A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72</w:t>
      </w:r>
      <w:r w:rsidR="008631AA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631AA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61B70113" w14:textId="68ABD1ED" w:rsidR="008631AA" w:rsidRPr="004E2283" w:rsidRDefault="008631AA" w:rsidP="008631A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E2283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4E2283">
        <w:rPr>
          <w:rFonts w:ascii="Century" w:hAnsi="Century"/>
          <w:b/>
          <w:sz w:val="32"/>
          <w:szCs w:val="36"/>
          <w:lang w:val="en-US"/>
        </w:rPr>
        <w:t>26/72-93</w:t>
      </w:r>
      <w:r w:rsidR="004E2283">
        <w:rPr>
          <w:rFonts w:ascii="Century" w:hAnsi="Century"/>
          <w:b/>
          <w:sz w:val="32"/>
          <w:szCs w:val="36"/>
          <w:lang w:val="en-US"/>
        </w:rPr>
        <w:t>30</w:t>
      </w:r>
      <w:bookmarkStart w:id="2" w:name="_GoBack"/>
      <w:bookmarkEnd w:id="2"/>
    </w:p>
    <w:p w14:paraId="44B11A9B" w14:textId="679C87A3" w:rsidR="008631AA" w:rsidRPr="007B0084" w:rsidRDefault="00266A63" w:rsidP="008631A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</w:t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8631AA">
        <w:rPr>
          <w:rFonts w:ascii="Century" w:eastAsia="Calibri" w:hAnsi="Century" w:cs="Times New Roman"/>
          <w:sz w:val="24"/>
          <w:szCs w:val="24"/>
          <w:lang w:eastAsia="ru-RU"/>
        </w:rPr>
        <w:t xml:space="preserve">січня </w:t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8631AA"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</w:t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59568AF1" w14:textId="77777777" w:rsidR="008631AA" w:rsidRPr="007B0084" w:rsidRDefault="008631AA" w:rsidP="008631A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5964E0E0" w14:textId="2D5F3C13" w:rsidR="008631AA" w:rsidRDefault="008631AA" w:rsidP="008631A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вилучення зі користування та припинення договорів оренди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землі з ТзОВ «Я</w:t>
      </w:r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ВОРІВ ЕНЕРГО»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та передачу в оренду земельних ділянок </w:t>
      </w:r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ТОВ «</w:t>
      </w:r>
      <w:proofErr w:type="spellStart"/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Юрокейп</w:t>
      </w:r>
      <w:proofErr w:type="spellEnd"/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Юкрейн Львів»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для </w:t>
      </w:r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будівництвом та обслуговуванням об'єктів енергетичної інфраструктури</w:t>
      </w:r>
    </w:p>
    <w:p w14:paraId="2800534F" w14:textId="77777777" w:rsidR="008631AA" w:rsidRDefault="008631AA" w:rsidP="008631A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5A119751" w14:textId="1C1700B4" w:rsidR="008631AA" w:rsidRDefault="008631AA" w:rsidP="008631A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8631A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заяву </w:t>
      </w:r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«ЯВОРІВ ЕНЕРГО» від 13.01.2026 року  та лист ТОВ «</w:t>
      </w:r>
      <w:proofErr w:type="spellStart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Юрокейп</w:t>
      </w:r>
      <w:proofErr w:type="spellEnd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Юкрейн Львів» від 13.01.2026 №04-01/26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, к</w:t>
      </w:r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еруючись </w:t>
      </w:r>
      <w:proofErr w:type="spellStart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122, 123, 124, 134 Земельного кодексу України, Законом України «Про землі енергетики та правовий режим спеціальних зон енергетичних об'єктів», враховуючи нотаріальну заяву ТОВ ««ЯВОРІВ ЕНЕРГО» щодо надання згоди на вилучення з користування земельних ділянок та припинення договорів оренди із Городоцькою міською радою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а також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14:paraId="6FE6F556" w14:textId="77777777" w:rsidR="008631AA" w:rsidRPr="007B0084" w:rsidRDefault="008631AA" w:rsidP="00266A6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4C505D3E" w14:textId="23304F33" w:rsidR="006453C6" w:rsidRDefault="008631AA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266A6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6453C6">
        <w:rPr>
          <w:rFonts w:ascii="Century" w:eastAsia="Times New Roman" w:hAnsi="Century" w:cs="Arial"/>
          <w:sz w:val="24"/>
          <w:szCs w:val="24"/>
          <w:lang w:eastAsia="ru-RU"/>
        </w:rPr>
        <w:t>В</w:t>
      </w:r>
      <w:r w:rsidR="006453C6" w:rsidRPr="006453C6">
        <w:rPr>
          <w:rFonts w:ascii="Century" w:eastAsia="Times New Roman" w:hAnsi="Century" w:cs="Arial"/>
          <w:sz w:val="24"/>
          <w:szCs w:val="24"/>
          <w:lang w:eastAsia="ru-RU"/>
        </w:rPr>
        <w:t>илуч</w:t>
      </w:r>
      <w:r w:rsidR="006453C6">
        <w:rPr>
          <w:rFonts w:ascii="Century" w:eastAsia="Times New Roman" w:hAnsi="Century" w:cs="Arial"/>
          <w:sz w:val="24"/>
          <w:szCs w:val="24"/>
          <w:lang w:eastAsia="ru-RU"/>
        </w:rPr>
        <w:t>ити</w:t>
      </w:r>
      <w:r w:rsidR="006453C6"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 зі  користування </w:t>
      </w:r>
      <w:r w:rsidR="006453C6"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«ЯВОРІВ ЕНЕРГО»</w:t>
      </w:r>
      <w:r w:rsidR="006453C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</w:t>
      </w:r>
      <w:r w:rsidR="006453C6" w:rsidRPr="006453C6">
        <w:rPr>
          <w:rFonts w:ascii="Century" w:eastAsia="Times New Roman" w:hAnsi="Century" w:cs="Arial"/>
          <w:sz w:val="24"/>
          <w:szCs w:val="24"/>
          <w:lang w:eastAsia="ru-RU"/>
        </w:rPr>
        <w:t>припин</w:t>
      </w:r>
      <w:r w:rsidR="006453C6">
        <w:rPr>
          <w:rFonts w:ascii="Century" w:eastAsia="Times New Roman" w:hAnsi="Century" w:cs="Arial"/>
          <w:sz w:val="24"/>
          <w:szCs w:val="24"/>
          <w:lang w:eastAsia="ru-RU"/>
        </w:rPr>
        <w:t>ити договори оренди землі шляхом їх розірвання за взаємною згодою сторін на наступні земельні ділянки:</w:t>
      </w:r>
    </w:p>
    <w:p w14:paraId="0A003218" w14:textId="1DFC97FA" w:rsidR="006453C6" w:rsidRDefault="006453C6" w:rsidP="006453C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 -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ділянка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ділянки площею 1,0033 га, кадастровий номер: 4620987600:31:000:0055, переданої для будівництва та обслуговування вітроелектростанцій (код КВЦПЗ - 14.01. Для розміщення, будівництва, експлуатації та обслуговування будівель і споруд об'єктів енергогенеруючих підприємств, установ і організацій), номер запису про інше речове право: 32940015; Договір оренди земельної ділянки від 20.08.2019 р.; </w:t>
      </w:r>
    </w:p>
    <w:p w14:paraId="07790404" w14:textId="1DBCED66" w:rsidR="006453C6" w:rsidRDefault="006453C6" w:rsidP="006453C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ділянк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площею 1,0000 га, кадастровий номер: 4620987600:18:000:0015, переданої для будівництва та обслуговування вітроелектростанцій (код КВЦПЗ – 14.01. Для розміщення, будівництва, експлуатації та обслуговування будівель і споруд об'єктів енергогенеруючих підприємств, установ і організацій), номер запису про інше речове право: 33125213; Договір оренди землі №418/57-19 від 03.09.2019р.; </w:t>
      </w:r>
    </w:p>
    <w:p w14:paraId="0124897C" w14:textId="77777777" w:rsidR="006453C6" w:rsidRDefault="006453C6" w:rsidP="006453C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площею 1,0009 га, кадастровий номер: 4620989100:10:000:0019, переданої для будівництва та обслуговування вітроелектростанцій (код КВЦПЗ - 14.01. Для розміщення, будівництва, експлуатації та обслуговування будівель і споруд об'єктів енергогенеруючих підприємств, установ і організацій), номер запису про інше речове право: 33125841; Договір оренди землі №410/57-19 від 03.09.2019р.; </w:t>
      </w:r>
    </w:p>
    <w:p w14:paraId="7166B4F6" w14:textId="77777777" w:rsidR="006453C6" w:rsidRDefault="006453C6" w:rsidP="006453C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-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ділянк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площею 1,0000 га, кадастровий номер: 4620989100:07:000:0024, переданої для будівництва та обслуговування вітроелектростанцій (код КВЦПЗ – 14.01. Для розміщення, будівництва, експлуатації та обслуговування будівель і споруд об'єктів енергогенеруючих підприємств, установ і організацій), номер запису про інше речове право: 33126377; Договір оренди землі №415/57-19 від 03.09.2019р.; </w:t>
      </w:r>
    </w:p>
    <w:p w14:paraId="64B01802" w14:textId="3FEC0799" w:rsidR="006453C6" w:rsidRDefault="006453C6" w:rsidP="006453C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ділянка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площею 1,0015 га, кадастровий номер: 4620989100:13:000:0038, переданої для будівництва та обслуговування вітроелектростанцій (код КВЦПЗ - 14.01. Для розміщення, будівництва, експлуатації та обслуговування будівель і споруд об'єктів енергогенеруючих підприємств, установ і організацій), номер запису про інше речове право: 33113821; Договір оренди землі №412/57-19 від 03.09.2019р.</w:t>
      </w:r>
    </w:p>
    <w:p w14:paraId="5C7A00D0" w14:textId="34E41E77" w:rsidR="006453C6" w:rsidRDefault="006453C6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266A6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ТОВ «</w:t>
      </w:r>
      <w:proofErr w:type="spellStart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Юрокейп</w:t>
      </w:r>
      <w:proofErr w:type="spellEnd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Юкрейн Львів» 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 оренду та укласти догов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ори 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оренди на земельн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 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ділянк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 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комунальної власності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14:paraId="6F7B88DA" w14:textId="77777777" w:rsidR="006453C6" w:rsidRDefault="006453C6" w:rsidP="006453C6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площею 1,0000 га (кадастровий номер: 4620987600:18:000:0015); категорія земель: землі промисловості, транспорту, електронних комунікацій, енергетики, оборони та іншого призначення; цільове призначення: для розміщення, будівництва, експлуатації та обслуговування будівель і споруд об'єктів енергогенеруючих підприємств, установ і організацій, яка розташована за межами населеного пункту на території Городоцької міської ради Львівської області (колише місце розташування: </w:t>
      </w:r>
      <w:proofErr w:type="spellStart"/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Родатицька</w:t>
      </w:r>
      <w:proofErr w:type="spellEnd"/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сільська рада Городоцького району Львівської області), строком на 49 (сорок дев'ять) років для будівництва та обслуговування об'єктів енергетичної інфраструктури (для облаштування майданчика вітроенергетичної установки Львівської вітроелектростанції потужністю 100 МВт у Львівському та Яворівському районах Львівської області); </w:t>
      </w:r>
    </w:p>
    <w:p w14:paraId="444559F4" w14:textId="7C0D3136" w:rsidR="008F5709" w:rsidRDefault="006453C6" w:rsidP="008F5709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- 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1,0033 га (кадастровий номер: 4620987600:31:000:0055); категорія земель: землі промисловості, транспорту, електронних комунікацій, енергетики, оборони та іншого призначення; цільове призначення: для розміщення, будівництва, експлуатації та обслуговування будівель і споруд об'єктів енергогенеруючих підприємств, установ і організацій, яка розташована за межами населеного пункту на території Городоцької міської ради Львівської області (колише місце розташування: </w:t>
      </w:r>
      <w:proofErr w:type="spellStart"/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Родатицька</w:t>
      </w:r>
      <w:proofErr w:type="spellEnd"/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сільська рада Городоцького району Львівської області), строком на 49 (сорок дев'ять) років для будівництва та обслуговування об'єктів енергетичної інфраструктури (для облаштування майданчика вітроенергетичної установки Львівської</w:t>
      </w:r>
      <w:r w:rsid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8F5709"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вітроелектростанції потужністю 100 МВт у Львівському та Яворівському районах Львівської області);</w:t>
      </w:r>
    </w:p>
    <w:p w14:paraId="3C651D2B" w14:textId="77777777" w:rsidR="008F5709" w:rsidRDefault="008F5709" w:rsidP="008F5709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</w:t>
      </w:r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1,0000 га (кадастровий номер: 4620989100:07:000:0024); категорія земель: землі промисловості, транспорту, електронних комунікацій, енергетики, оборони та іншого призначення; цільове призначення: для розміщення, будівництва, експлуатації та обслуговування будівель і споруд об'єктів енергогенеруючих підприємств, установ і організацій, яка розташована за межами населеного пункту на території Городоцької міської ради Львівської області (колише місце розташування: </w:t>
      </w:r>
      <w:proofErr w:type="spellStart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Тучапська</w:t>
      </w:r>
      <w:proofErr w:type="spellEnd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сільська рада Городоцького району Львівської області), строком на 49 (сорок дев'ять) років для будівництва та обслуговування об'єктів енергетичної інфраструктури (для облаштування майданчика вітроенергетичної установки Львівської вітроелектростанції потужністю 100 МВт у Львівському та Яворівському районах Львівської області); </w:t>
      </w:r>
    </w:p>
    <w:p w14:paraId="03B7BD3A" w14:textId="11616571" w:rsidR="008F5709" w:rsidRDefault="008F5709" w:rsidP="008F5709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-</w:t>
      </w:r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площею 1,0009 га (кадастровий номер: 4620989100:10:000:0019); категорія земель: землі промисловості, транспорту, електронних комунікацій, енергетики, оборони </w:t>
      </w:r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та іншого призначення; цільове призначення: для розміщення, будівництва, експлуатації та обслуговування будівель і споруд об'єктів енергогенеруючих підприємств, установ і організацій, яка розташована за межами населеного пункту на території Городоцької міської ради Львівської області (колише місце розташування: </w:t>
      </w:r>
      <w:proofErr w:type="spellStart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Тучапська</w:t>
      </w:r>
      <w:proofErr w:type="spellEnd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сільська рада Городоцького району Львівської області), строком на 49 (сорок дев'ять) років для будівництва та обслуговування об'єктів енергетичної інфраструктури (для облаштування майданчика вітроенергетичної установки Львівської вітроелектростанції потужністю 100 МВт у Львівському та Яворівському районах Львівської області);</w:t>
      </w:r>
    </w:p>
    <w:p w14:paraId="30836873" w14:textId="65E94326" w:rsidR="008F5709" w:rsidRDefault="008F5709" w:rsidP="008F5709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</w:t>
      </w:r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1,0015 га (кадастровий номер: 4620989100:13:000:0038); категорія земель: землі промисловості, транспорту, електронних комунікацій, енергетики, оборони та іншого призначення; цільове призначення: для розміщення, будівництва, експлуатації та обслуговування будівель і споруд об'єктів енергогенеруючих підприємств, установ і організацій, яка розташована за межами населеного пункту на території Городоцької міської ради Львівської області (колише місце розташування: </w:t>
      </w:r>
      <w:proofErr w:type="spellStart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Тучапська</w:t>
      </w:r>
      <w:proofErr w:type="spellEnd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сільська рада Городоцького району Львівської області), строком на 49 (сорок дев'ять) років для будівництва та обслуговування об'єктів енергетичної інфраструктури (для облаштування майданчика вітроенергетичної установки Львівської вітроелектростанції потужністю 100 МВт у Львівському та Яворівському районах Львівської області);</w:t>
      </w:r>
    </w:p>
    <w:p w14:paraId="4E5FE358" w14:textId="5403C125" w:rsidR="008631AA" w:rsidRDefault="008631AA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266A6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</w:t>
      </w:r>
      <w:r w:rsid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ділянок зазначених у пункті 2 цього рішення,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 розмірі </w:t>
      </w:r>
      <w:r w:rsid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</w:t>
      </w:r>
      <w:r w:rsid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 нормативної грошової оцінки.</w:t>
      </w:r>
    </w:p>
    <w:p w14:paraId="708DAB4B" w14:textId="684D8927" w:rsidR="008631AA" w:rsidRDefault="008F5709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8631AA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66A6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8631AA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8631AA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8631AA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8631AA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.</w:t>
      </w:r>
    </w:p>
    <w:p w14:paraId="1E994102" w14:textId="019388B2" w:rsidR="008F5709" w:rsidRDefault="008F5709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14:paraId="13EFBAE1" w14:textId="77777777" w:rsidR="00266A63" w:rsidRPr="007B0084" w:rsidRDefault="00266A63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05F15226" w14:textId="787BB81C" w:rsidR="008631AA" w:rsidRDefault="008631AA" w:rsidP="008631AA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                                        </w:t>
      </w:r>
      <w:r w:rsidR="00266A63">
        <w:rPr>
          <w:rFonts w:ascii="Century" w:eastAsia="Calibri" w:hAnsi="Century" w:cs="Times New Roman"/>
          <w:b/>
          <w:sz w:val="24"/>
          <w:szCs w:val="24"/>
        </w:rPr>
        <w:t xml:space="preserve">     </w:t>
      </w:r>
      <w:r w:rsidRPr="007B0084">
        <w:rPr>
          <w:rFonts w:ascii="Century" w:eastAsia="Calibri" w:hAnsi="Century" w:cs="Times New Roman"/>
          <w:b/>
          <w:sz w:val="24"/>
          <w:szCs w:val="24"/>
        </w:rPr>
        <w:t>Володимир РЕМЕНЯК</w:t>
      </w:r>
    </w:p>
    <w:p w14:paraId="54474011" w14:textId="77777777" w:rsidR="00F40C27" w:rsidRDefault="00F40C27"/>
    <w:sectPr w:rsidR="00F40C27" w:rsidSect="008631A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213"/>
    <w:rsid w:val="00266A63"/>
    <w:rsid w:val="004E2283"/>
    <w:rsid w:val="006453C6"/>
    <w:rsid w:val="00714213"/>
    <w:rsid w:val="007B0646"/>
    <w:rsid w:val="008631AA"/>
    <w:rsid w:val="008F5709"/>
    <w:rsid w:val="009A6776"/>
    <w:rsid w:val="00F4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3EFE"/>
  <w15:chartTrackingRefBased/>
  <w15:docId w15:val="{D76C8857-3894-446E-B4FB-2C01DB28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31AA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142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42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42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42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42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42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42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42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42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2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14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142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1421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1421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142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142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142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142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142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7142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42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7142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421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71421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4213"/>
    <w:pPr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71421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142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71421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1421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5200</Words>
  <Characters>2965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2026-01-26T11:27:00Z</dcterms:created>
  <dcterms:modified xsi:type="dcterms:W3CDTF">2026-02-02T07:23:00Z</dcterms:modified>
</cp:coreProperties>
</file>